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83C" w14:textId="77777777" w:rsidR="00736505" w:rsidRPr="00EE3CD1" w:rsidRDefault="00B344D0" w:rsidP="00EE3CD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E3CD1">
        <w:t xml:space="preserve">The Energy and Water Ombudsman is appointed by the Governor in Council under section 51 of the </w:t>
      </w:r>
      <w:r w:rsidRPr="00EE3CD1">
        <w:rPr>
          <w:i/>
        </w:rPr>
        <w:t>Energy and Water Ombudsman Act 2006</w:t>
      </w:r>
      <w:r w:rsidRPr="00EE3CD1">
        <w:t>.</w:t>
      </w:r>
    </w:p>
    <w:p w14:paraId="1D05BA43" w14:textId="77777777" w:rsidR="00736505" w:rsidRPr="00EE3CD1" w:rsidRDefault="00B344D0" w:rsidP="00EE3CD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E3CD1">
        <w:t>The Energy and Water Ombudsman receives, investigates and facilitates the resolution of complaints made by small energy and South East Queensland water customers, or by a scheme member in relation to the connection, supply or sale of electricity, gas or water by a member of the scheme.</w:t>
      </w:r>
    </w:p>
    <w:p w14:paraId="2083C61A" w14:textId="7AFF839C" w:rsidR="00736505" w:rsidRPr="00EE3CD1" w:rsidRDefault="00B344D0" w:rsidP="00EE3CD1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 w:rsidRPr="00EE3CD1">
        <w:rPr>
          <w:u w:val="single"/>
        </w:rPr>
        <w:t>Cabinet endorsed</w:t>
      </w:r>
      <w:r w:rsidRPr="00EE3CD1">
        <w:t xml:space="preserve"> that Ms Jane Pires be recommended to the Governor in Council for reappointment as the Energy and Water Ombudsman for a term of four years from1 December 2022.</w:t>
      </w:r>
    </w:p>
    <w:p w14:paraId="757C6E96" w14:textId="49340BD3" w:rsidR="00736505" w:rsidRPr="00EE3CD1" w:rsidRDefault="00B344D0" w:rsidP="00EE3CD1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 w:rsidRPr="00EE3CD1">
        <w:rPr>
          <w:i/>
          <w:u w:val="single"/>
        </w:rPr>
        <w:t>Attachments</w:t>
      </w:r>
      <w:r w:rsidR="004230C5" w:rsidRPr="00EE3CD1">
        <w:rPr>
          <w:iCs/>
        </w:rPr>
        <w:t>:</w:t>
      </w:r>
    </w:p>
    <w:p w14:paraId="69A4A7AF" w14:textId="6CB67098" w:rsidR="00736505" w:rsidRPr="00EE3CD1" w:rsidRDefault="00B344D0" w:rsidP="00EE3CD1">
      <w:pPr>
        <w:pStyle w:val="ListParagraph"/>
        <w:numPr>
          <w:ilvl w:val="1"/>
          <w:numId w:val="1"/>
        </w:numPr>
        <w:spacing w:before="120"/>
        <w:ind w:left="850" w:right="6" w:hanging="425"/>
        <w:jc w:val="left"/>
      </w:pPr>
      <w:r w:rsidRPr="00EE3CD1">
        <w:t>Nil</w:t>
      </w:r>
      <w:r w:rsidR="004230C5" w:rsidRPr="00EE3CD1">
        <w:t>.</w:t>
      </w:r>
    </w:p>
    <w:sectPr w:rsidR="00736505" w:rsidRPr="00EE3CD1" w:rsidSect="004230C5">
      <w:headerReference w:type="even" r:id="rId9"/>
      <w:headerReference w:type="default" r:id="rId10"/>
      <w:headerReference w:type="first" r:id="rId11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EBCA" w14:textId="77777777" w:rsidR="00A56307" w:rsidRDefault="00A56307" w:rsidP="004230C5">
      <w:r>
        <w:separator/>
      </w:r>
    </w:p>
  </w:endnote>
  <w:endnote w:type="continuationSeparator" w:id="0">
    <w:p w14:paraId="66F19D9C" w14:textId="77777777" w:rsidR="00A56307" w:rsidRDefault="00A56307" w:rsidP="0042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7111" w14:textId="77777777" w:rsidR="00A56307" w:rsidRDefault="00A56307" w:rsidP="004230C5">
      <w:r>
        <w:separator/>
      </w:r>
    </w:p>
  </w:footnote>
  <w:footnote w:type="continuationSeparator" w:id="0">
    <w:p w14:paraId="7D4FA742" w14:textId="77777777" w:rsidR="00A56307" w:rsidRDefault="00A56307" w:rsidP="0042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13F8" w14:textId="3E86FBF4" w:rsidR="005116B0" w:rsidRDefault="005116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7C919C" wp14:editId="226C3D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5530384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86DB6" w14:textId="2FB5C35F" w:rsidR="005116B0" w:rsidRPr="005116B0" w:rsidRDefault="005116B0" w:rsidP="005116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116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C91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1986DB6" w14:textId="2FB5C35F" w:rsidR="005116B0" w:rsidRPr="005116B0" w:rsidRDefault="005116B0" w:rsidP="005116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116B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E81C" w14:textId="7C9934CF" w:rsidR="004230C5" w:rsidRPr="00937A4A" w:rsidRDefault="005116B0" w:rsidP="004230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8BD121" wp14:editId="0BE05B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86665171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72ACF" w14:textId="6192096F" w:rsidR="005116B0" w:rsidRPr="005116B0" w:rsidRDefault="005116B0" w:rsidP="005116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116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BD1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8D72ACF" w14:textId="6192096F" w:rsidR="005116B0" w:rsidRPr="005116B0" w:rsidRDefault="005116B0" w:rsidP="005116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116B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0C5" w:rsidRPr="00937A4A">
      <w:rPr>
        <w:b/>
        <w:sz w:val="28"/>
      </w:rPr>
      <w:t>Queensland Government</w:t>
    </w:r>
  </w:p>
  <w:p w14:paraId="31E7349E" w14:textId="77777777" w:rsidR="004230C5" w:rsidRPr="00937A4A" w:rsidRDefault="004230C5" w:rsidP="004230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DDA5EF4" w14:textId="3E35FCE7" w:rsidR="004230C5" w:rsidRPr="00937A4A" w:rsidRDefault="004230C5" w:rsidP="004230C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2022</w:t>
    </w:r>
  </w:p>
  <w:p w14:paraId="0D796A0B" w14:textId="3E25A967" w:rsidR="004230C5" w:rsidRDefault="004230C5" w:rsidP="00EE3CD1">
    <w:pPr>
      <w:pStyle w:val="Header"/>
      <w:spacing w:before="120"/>
      <w:jc w:val="both"/>
      <w:rPr>
        <w:b/>
        <w:u w:val="single"/>
      </w:rPr>
    </w:pPr>
    <w:r w:rsidRPr="004230C5">
      <w:rPr>
        <w:b/>
        <w:u w:val="single"/>
      </w:rPr>
      <w:t>Reappointment of the Energy and Water Ombudsman</w:t>
    </w:r>
  </w:p>
  <w:p w14:paraId="05E5F2B4" w14:textId="08BA2A33" w:rsidR="004230C5" w:rsidRDefault="004230C5" w:rsidP="00EE3CD1">
    <w:pPr>
      <w:pStyle w:val="Header"/>
      <w:spacing w:before="120"/>
      <w:jc w:val="both"/>
      <w:rPr>
        <w:b/>
        <w:u w:val="single"/>
      </w:rPr>
    </w:pPr>
    <w:r w:rsidRPr="004230C5">
      <w:rPr>
        <w:b/>
        <w:u w:val="single"/>
      </w:rPr>
      <w:t>Minister for Energy, Renewables and Hydrogen and Minister for Public Works and Procurement</w:t>
    </w:r>
  </w:p>
  <w:p w14:paraId="1EF68193" w14:textId="367DD075" w:rsidR="004230C5" w:rsidRDefault="004230C5" w:rsidP="004230C5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ED1C" w14:textId="356012A9" w:rsidR="005116B0" w:rsidRDefault="005116B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B8B6C9" wp14:editId="6F0CA09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6498887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9CE8F" w14:textId="1795FE79" w:rsidR="005116B0" w:rsidRPr="005116B0" w:rsidRDefault="005116B0" w:rsidP="005116B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5116B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8B6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099CE8F" w14:textId="1795FE79" w:rsidR="005116B0" w:rsidRPr="005116B0" w:rsidRDefault="005116B0" w:rsidP="005116B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5116B0">
                      <w:rPr>
                        <w:rFonts w:ascii="Calibri" w:eastAsia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B1C72"/>
    <w:multiLevelType w:val="hybridMultilevel"/>
    <w:tmpl w:val="04045464"/>
    <w:lvl w:ilvl="0" w:tplc="EC96B946">
      <w:start w:val="1"/>
      <w:numFmt w:val="decimal"/>
      <w:lvlText w:val="%1."/>
      <w:lvlJc w:val="left"/>
      <w:pPr>
        <w:ind w:left="647" w:hanging="360"/>
      </w:pPr>
      <w:rPr>
        <w:rFonts w:hint="default"/>
        <w:i w:val="0"/>
        <w:iCs/>
        <w:spacing w:val="-1"/>
        <w:w w:val="100"/>
        <w:lang w:val="en-US" w:eastAsia="en-US" w:bidi="en-US"/>
      </w:rPr>
    </w:lvl>
    <w:lvl w:ilvl="1" w:tplc="95707EE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1D883FD4">
      <w:numFmt w:val="bullet"/>
      <w:lvlText w:val="•"/>
      <w:lvlJc w:val="left"/>
      <w:pPr>
        <w:ind w:left="1887" w:hanging="361"/>
      </w:pPr>
      <w:rPr>
        <w:rFonts w:hint="default"/>
        <w:lang w:val="en-US" w:eastAsia="en-US" w:bidi="en-US"/>
      </w:rPr>
    </w:lvl>
    <w:lvl w:ilvl="3" w:tplc="06D42D7A">
      <w:numFmt w:val="bullet"/>
      <w:lvlText w:val="•"/>
      <w:lvlJc w:val="left"/>
      <w:pPr>
        <w:ind w:left="2834" w:hanging="361"/>
      </w:pPr>
      <w:rPr>
        <w:rFonts w:hint="default"/>
        <w:lang w:val="en-US" w:eastAsia="en-US" w:bidi="en-US"/>
      </w:rPr>
    </w:lvl>
    <w:lvl w:ilvl="4" w:tplc="F282102C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en-US"/>
      </w:rPr>
    </w:lvl>
    <w:lvl w:ilvl="5" w:tplc="D4708B46">
      <w:numFmt w:val="bullet"/>
      <w:lvlText w:val="•"/>
      <w:lvlJc w:val="left"/>
      <w:pPr>
        <w:ind w:left="4729" w:hanging="361"/>
      </w:pPr>
      <w:rPr>
        <w:rFonts w:hint="default"/>
        <w:lang w:val="en-US" w:eastAsia="en-US" w:bidi="en-US"/>
      </w:rPr>
    </w:lvl>
    <w:lvl w:ilvl="6" w:tplc="95BA9FA0">
      <w:numFmt w:val="bullet"/>
      <w:lvlText w:val="•"/>
      <w:lvlJc w:val="left"/>
      <w:pPr>
        <w:ind w:left="5676" w:hanging="361"/>
      </w:pPr>
      <w:rPr>
        <w:rFonts w:hint="default"/>
        <w:lang w:val="en-US" w:eastAsia="en-US" w:bidi="en-US"/>
      </w:rPr>
    </w:lvl>
    <w:lvl w:ilvl="7" w:tplc="69509654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en-US"/>
      </w:rPr>
    </w:lvl>
    <w:lvl w:ilvl="8" w:tplc="879E447C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en-US"/>
      </w:rPr>
    </w:lvl>
  </w:abstractNum>
  <w:num w:numId="1" w16cid:durableId="75690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5"/>
    <w:rsid w:val="004230C5"/>
    <w:rsid w:val="005116B0"/>
    <w:rsid w:val="00736505"/>
    <w:rsid w:val="00A56307"/>
    <w:rsid w:val="00B344D0"/>
    <w:rsid w:val="00E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7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3"/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230C5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23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0C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23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0C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D4600-53CC-4B77-B12A-78AF54933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40AFA-CA95-4020-A177-B3A11E13A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510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Base>https://www.cabinet.qld.gov.au/documents/2022/Nov/ApptEWO/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2022-12-12T04:49:00Z</dcterms:created>
  <dcterms:modified xsi:type="dcterms:W3CDTF">2023-08-03T22:31:00Z</dcterms:modified>
  <cp:category>Energy,Significant_Appointments,Water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2022-12-12T00:00:00Z</vt:filetime>
  </property>
  <property fmtid="{D5CDD505-2E9C-101B-9397-08002B2CF9AE}" pid="5" name="ClassificationContentMarkingHeaderShapeIds">
    <vt:lpwstr>62574dfc,5c917c87,6f42d841</vt:lpwstr>
  </property>
  <property fmtid="{D5CDD505-2E9C-101B-9397-08002B2CF9AE}" pid="6" name="ClassificationContentMarkingHeaderFontProps">
    <vt:lpwstr>#008000,20,Calibri</vt:lpwstr>
  </property>
  <property fmtid="{D5CDD505-2E9C-101B-9397-08002B2CF9AE}" pid="7" name="ClassificationContentMarkingHeaderText">
    <vt:lpwstr>OFFICIAL</vt:lpwstr>
  </property>
  <property fmtid="{D5CDD505-2E9C-101B-9397-08002B2CF9AE}" pid="8" name="MSIP_Label_dbba12b5-5c44-45c1-8d23-ce231b9c6da8_Enabled">
    <vt:lpwstr>true</vt:lpwstr>
  </property>
  <property fmtid="{D5CDD505-2E9C-101B-9397-08002B2CF9AE}" pid="9" name="MSIP_Label_dbba12b5-5c44-45c1-8d23-ce231b9c6da8_SetDate">
    <vt:lpwstr>2023-08-03T22:31:43Z</vt:lpwstr>
  </property>
  <property fmtid="{D5CDD505-2E9C-101B-9397-08002B2CF9AE}" pid="10" name="MSIP_Label_dbba12b5-5c44-45c1-8d23-ce231b9c6da8_Method">
    <vt:lpwstr>Standard</vt:lpwstr>
  </property>
  <property fmtid="{D5CDD505-2E9C-101B-9397-08002B2CF9AE}" pid="11" name="MSIP_Label_dbba12b5-5c44-45c1-8d23-ce231b9c6da8_Name">
    <vt:lpwstr>OFFICIAL-PILOT</vt:lpwstr>
  </property>
  <property fmtid="{D5CDD505-2E9C-101B-9397-08002B2CF9AE}" pid="12" name="MSIP_Label_dbba12b5-5c44-45c1-8d23-ce231b9c6da8_SiteId">
    <vt:lpwstr>51778d2a-a6ab-4c76-97dc-782782d65046</vt:lpwstr>
  </property>
  <property fmtid="{D5CDD505-2E9C-101B-9397-08002B2CF9AE}" pid="13" name="MSIP_Label_dbba12b5-5c44-45c1-8d23-ce231b9c6da8_ActionId">
    <vt:lpwstr>abc9b0e3-149e-4b02-ae1a-8361f80f3fc9</vt:lpwstr>
  </property>
  <property fmtid="{D5CDD505-2E9C-101B-9397-08002B2CF9AE}" pid="14" name="MSIP_Label_dbba12b5-5c44-45c1-8d23-ce231b9c6da8_ContentBits">
    <vt:lpwstr>1</vt:lpwstr>
  </property>
</Properties>
</file>